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A757" w14:textId="4CDB412F" w:rsidR="0067618F" w:rsidRPr="006D105E" w:rsidRDefault="00560F0E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</w:pPr>
      <w:bookmarkStart w:id="0" w:name="_GoBack"/>
      <w:bookmarkEnd w:id="0"/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Scenarij predmeta: 2. modul</w:t>
      </w:r>
      <w:r w:rsidR="00BE6DB5"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 xml:space="preserve"> – </w:t>
      </w:r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nadležnosti</w:t>
      </w:r>
      <w:r w:rsidR="00BE6DB5"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 xml:space="preserve"> </w:t>
      </w:r>
      <w:proofErr w:type="spellStart"/>
      <w:r w:rsidR="00BE6DB5"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EPPO</w:t>
      </w:r>
      <w:proofErr w:type="spellEnd"/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-a</w:t>
      </w:r>
    </w:p>
    <w:p w14:paraId="20865D39" w14:textId="77777777" w:rsidR="0067618F" w:rsidRPr="006D105E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  <w:lang w:val="hr-HR"/>
        </w:rPr>
      </w:pPr>
    </w:p>
    <w:p w14:paraId="5D354605" w14:textId="69EF5F44" w:rsidR="00EE1907" w:rsidRPr="006D105E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X, </w:t>
      </w:r>
      <w:r w:rsidR="00560F0E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predsjednik uprave jednog mađarskog društva s ograničenom odgovornošću i predstavnik konzorcija koji </w:t>
      </w:r>
      <w:r w:rsidR="00CE5780">
        <w:rPr>
          <w:rFonts w:ascii="Times New Roman" w:hAnsi="Times New Roman" w:cs="Times New Roman"/>
          <w:sz w:val="24"/>
          <w:szCs w:val="24"/>
          <w:lang w:val="hr-HR"/>
        </w:rPr>
        <w:t xml:space="preserve">je sudjelovao </w:t>
      </w:r>
      <w:r w:rsidR="00560F0E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u određenom </w:t>
      </w:r>
      <w:r w:rsidR="00CE5780">
        <w:rPr>
          <w:rFonts w:ascii="Times New Roman" w:hAnsi="Times New Roman" w:cs="Times New Roman"/>
          <w:sz w:val="24"/>
          <w:szCs w:val="24"/>
          <w:lang w:val="hr-HR"/>
        </w:rPr>
        <w:t xml:space="preserve">postupku </w:t>
      </w:r>
      <w:r w:rsidR="00560F0E" w:rsidRPr="006D105E">
        <w:rPr>
          <w:rFonts w:ascii="Times New Roman" w:hAnsi="Times New Roman" w:cs="Times New Roman"/>
          <w:sz w:val="24"/>
          <w:szCs w:val="24"/>
          <w:lang w:val="hr-HR"/>
        </w:rPr>
        <w:t>javnog nadmetanja/javne nabave, obratio se dvama dužnosnicima Europske komisije u Bruxellesu. Radi optimiziranja ponude konzorcija, od dužnosnika je zatražio da mu omoguće pristup povjerljivim podacima o cijenama drug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560F0E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ponuditelja, kao i drugim poslovno </w:t>
      </w:r>
      <w:r w:rsidR="006D105E" w:rsidRPr="006D105E">
        <w:rPr>
          <w:rFonts w:ascii="Times New Roman" w:hAnsi="Times New Roman" w:cs="Times New Roman"/>
          <w:sz w:val="24"/>
          <w:szCs w:val="24"/>
          <w:lang w:val="hr-HR"/>
        </w:rPr>
        <w:t>osjetljivim</w:t>
      </w:r>
      <w:r w:rsidR="00560F0E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podacima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37E469" w14:textId="45D1E9B9" w:rsidR="00EE1907" w:rsidRPr="006D105E" w:rsidRDefault="00560F0E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>Dužnosnici, državljani država članica A i B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, koji su se nalazili u Bruxellesu, bili su mu spremni dati tražene podatke pod uvjetom da svakom plati po 20 000 EUR. Razgovori s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dužnosnicima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održani su u Londonu. Tijekom sastanaka, A i B dali su X-u tražene </w:t>
      </w:r>
      <w:r w:rsidR="006D105E" w:rsidRPr="006D105E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5780">
        <w:rPr>
          <w:rFonts w:ascii="Times New Roman" w:hAnsi="Times New Roman" w:cs="Times New Roman"/>
          <w:sz w:val="24"/>
          <w:szCs w:val="24"/>
          <w:lang w:val="hr-HR"/>
        </w:rPr>
        <w:t>tako što su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mu pružili informacije koje su konzorciju omogućile da ponudi cijenu nešto nižu od financijske ponude konkurenta. U postupku ja</w:t>
      </w:r>
      <w:r w:rsidR="00AD2B4A" w:rsidRPr="006D105E">
        <w:rPr>
          <w:rFonts w:ascii="Times New Roman" w:hAnsi="Times New Roman" w:cs="Times New Roman"/>
          <w:sz w:val="24"/>
          <w:szCs w:val="24"/>
          <w:lang w:val="hr-HR"/>
        </w:rPr>
        <w:t>vne nabave, X je iznio netočne izjave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i dokument</w:t>
      </w:r>
      <w:r w:rsidR="00AD2B4A" w:rsidRPr="006D105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66BBB" w:rsidRPr="006D105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CB87D4" w14:textId="40F9D7A9" w:rsidR="0067618F" w:rsidRPr="006D105E" w:rsidRDefault="00DC4ED2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>Slučaj je privukao golemu pozornost medija i javnosti širom Europske unije.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Nacionalna tužiteljstva država članica A i B za ovaj su slučaj davanja i primanja mita doznala od nacionalnih medijskih kuća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Svaka od država članica A i B pokrenu</w:t>
      </w:r>
      <w:r w:rsidR="00C64C90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a je nacionalnu istragu protiv svojeg državljanina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2699F8" w14:textId="77777777" w:rsidR="0067618F" w:rsidRPr="006D105E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EDA3A5" w14:textId="68ED0217" w:rsidR="0067618F" w:rsidRPr="006D105E" w:rsidRDefault="00DC4ED2" w:rsidP="00F50ABB">
      <w:pPr>
        <w:spacing w:before="138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Napomena predavaču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:</w:t>
      </w:r>
    </w:p>
    <w:p w14:paraId="22ABE801" w14:textId="432CDFBA" w:rsidR="0067618F" w:rsidRPr="006D105E" w:rsidRDefault="00DC4ED2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9" w:line="276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Ovaj osnovni scenarij uključuje različite države članice i ostavlja otvorenim pitanje jesu li A, B i X svojim postupanjem zaista prouzročili štetu </w:t>
      </w:r>
      <w:r w:rsidR="006D105E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financijskim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interesima EU-a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37F039E4" w14:textId="44F99148" w:rsidR="0067618F" w:rsidRPr="006D105E" w:rsidRDefault="00DC4ED2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3"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Scenarij predmeta ostavlja otvorenim pitanje jesu li A i B s</w:t>
      </w:r>
      <w:r w:rsidR="00A55A0B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vjesno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pomagali</w:t>
      </w:r>
      <w:r w:rsidR="00A55A0B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X-u </w:t>
      </w:r>
      <w:r w:rsidR="006D105E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njegovim</w:t>
      </w:r>
      <w:r w:rsidR="00A55A0B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radnjama u postupku javne nabave.</w:t>
      </w:r>
    </w:p>
    <w:p w14:paraId="15E9BD44" w14:textId="14D5B12B" w:rsidR="0067618F" w:rsidRPr="006D105E" w:rsidRDefault="00A55A0B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6"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U scenariju predmeta ne navodi se je li riječ o rashodima u vezi s javnom nabavom ili nije (što je bitno za 1. pitanje</w:t>
      </w:r>
      <w:r w:rsidR="007B79C3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).</w:t>
      </w:r>
    </w:p>
    <w:p w14:paraId="430EA096" w14:textId="022FCCF0" w:rsidR="0067618F" w:rsidRPr="006D105E" w:rsidRDefault="00A55A0B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8" w:line="276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Spomenute države članice A i B mogu se zamijeniti bilo kojom postojećom državom članicom sudionicom (ali moraju biti države članice sudionice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).</w:t>
      </w:r>
    </w:p>
    <w:p w14:paraId="23336DE4" w14:textId="5492E5C6" w:rsidR="0067618F" w:rsidRPr="006D105E" w:rsidRDefault="00A55A0B" w:rsidP="00F50ABB">
      <w:pPr>
        <w:pStyle w:val="ListParagraph"/>
        <w:numPr>
          <w:ilvl w:val="0"/>
          <w:numId w:val="7"/>
        </w:numPr>
        <w:tabs>
          <w:tab w:val="left" w:pos="808"/>
        </w:tabs>
        <w:spacing w:before="9" w:line="276" w:lineRule="auto"/>
        <w:ind w:right="364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Zemlja X-ovog postupanja može se zamijeniti bilo kojom državom članicom koja nije sudionica, poput Danske, Irske, Poljske ili Švedske</w:t>
      </w:r>
      <w:r w:rsidR="00BE6DB5" w:rsidRPr="006D105E">
        <w:rPr>
          <w:rFonts w:ascii="Times New Roman" w:hAnsi="Times New Roman" w:cs="Times New Roman"/>
          <w:i/>
          <w:spacing w:val="-7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(ali</w:t>
      </w:r>
      <w:r w:rsid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t</w:t>
      </w:r>
      <w:r w:rsid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o</w:t>
      </w:r>
      <w:r w:rsidR="00BE6DB5" w:rsidRPr="006D105E">
        <w:rPr>
          <w:rFonts w:ascii="Times New Roman" w:hAnsi="Times New Roman" w:cs="Times New Roman"/>
          <w:i/>
          <w:spacing w:val="-6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m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ora</w:t>
      </w:r>
      <w:r w:rsidR="00BE6DB5" w:rsidRPr="006D105E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biti država članica koja nije sudionica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).</w:t>
      </w:r>
    </w:p>
    <w:p w14:paraId="070B7DAD" w14:textId="7B57C9CD" w:rsidR="0067618F" w:rsidRPr="006D105E" w:rsidRDefault="00A55A0B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Iznos mita nebitan je za predmet. Može ga se zamijeniti bilo kojim drugim iznosom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5EE11203" w14:textId="0FE3D6D3" w:rsidR="0067618F" w:rsidRPr="006D105E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  <w:lang w:val="hr-HR"/>
        </w:rPr>
      </w:pPr>
    </w:p>
    <w:p w14:paraId="32B52542" w14:textId="20688885" w:rsidR="00A26AF8" w:rsidRPr="006D105E" w:rsidRDefault="00A55A0B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  <w:lang w:val="hr-HR"/>
        </w:rPr>
      </w:pPr>
      <w:r w:rsidRPr="006D105E">
        <w:rPr>
          <w:rFonts w:ascii="Times New Roman" w:hAnsi="Times New Roman" w:cs="Times New Roman"/>
          <w:b/>
          <w:bCs/>
          <w:i/>
          <w:color w:val="4F81BD" w:themeColor="accent1"/>
          <w:sz w:val="28"/>
          <w:lang w:val="hr-HR"/>
        </w:rPr>
        <w:t>Pitanja</w:t>
      </w:r>
      <w:r w:rsidR="00A26AF8" w:rsidRPr="006D105E">
        <w:rPr>
          <w:rFonts w:ascii="Times New Roman" w:hAnsi="Times New Roman" w:cs="Times New Roman"/>
          <w:b/>
          <w:bCs/>
          <w:i/>
          <w:color w:val="4F81BD" w:themeColor="accent1"/>
          <w:sz w:val="28"/>
          <w:lang w:val="hr-HR"/>
        </w:rPr>
        <w:t>:</w:t>
      </w:r>
    </w:p>
    <w:p w14:paraId="2C1B60E3" w14:textId="257B6D32" w:rsidR="001121C3" w:rsidRPr="006D105E" w:rsidRDefault="00A55A0B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Pod pretpostavkom da je na</w:t>
      </w:r>
      <w:r w:rsidR="009E6726">
        <w:rPr>
          <w:rFonts w:ascii="Times New Roman" w:hAnsi="Times New Roman" w:cs="Times New Roman"/>
          <w:b/>
          <w:sz w:val="24"/>
          <w:szCs w:val="24"/>
          <w:lang w:val="hr-HR"/>
        </w:rPr>
        <w:t>nesena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šteta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financijskim </w:t>
      </w:r>
      <w:r w:rsidR="006D105E" w:rsidRPr="006D105E">
        <w:rPr>
          <w:rFonts w:ascii="Times New Roman" w:hAnsi="Times New Roman" w:cs="Times New Roman"/>
          <w:b/>
          <w:sz w:val="24"/>
          <w:szCs w:val="24"/>
          <w:lang w:val="hr-HR"/>
        </w:rPr>
        <w:t>interesima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EU-a</w:t>
      </w:r>
      <w:r w:rsidR="00E45A57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45A57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>oja je vaša pravna ocjena X-ovih radnji</w:t>
      </w:r>
      <w:r w:rsidR="001121C3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? 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Može li </w:t>
      </w:r>
      <w:proofErr w:type="spellStart"/>
      <w:r w:rsidR="001121C3" w:rsidRPr="006D105E"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 w:rsidR="001121C3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>protiv njega pokrenuti istragu</w:t>
      </w:r>
      <w:r w:rsidR="001121C3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? 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Bi li bilo ikakve razlike da </w:t>
      </w:r>
      <w:r w:rsidR="006D105E" w:rsidRPr="006D105E">
        <w:rPr>
          <w:rFonts w:ascii="Times New Roman" w:hAnsi="Times New Roman" w:cs="Times New Roman"/>
          <w:b/>
          <w:sz w:val="24"/>
          <w:szCs w:val="24"/>
          <w:lang w:val="hr-HR"/>
        </w:rPr>
        <w:t>financijskim</w:t>
      </w:r>
      <w:r w:rsidR="00830276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interesima EU-a nije nanesena šteta</w:t>
      </w:r>
      <w:r w:rsidR="001121C3" w:rsidRPr="006D105E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3160B5EA" w14:textId="77777777" w:rsidR="001121C3" w:rsidRPr="006D105E" w:rsidRDefault="001121C3" w:rsidP="001121C3">
      <w:pPr>
        <w:pStyle w:val="ListParagraph"/>
        <w:tabs>
          <w:tab w:val="left" w:pos="808"/>
        </w:tabs>
        <w:spacing w:before="158" w:line="276" w:lineRule="auto"/>
        <w:ind w:right="310" w:firstLine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2F967E" w14:textId="1FE1A28D" w:rsidR="001121C3" w:rsidRPr="006D105E" w:rsidRDefault="00830276" w:rsidP="001121C3">
      <w:pPr>
        <w:spacing w:line="276" w:lineRule="auto"/>
        <w:ind w:left="807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sz w:val="24"/>
          <w:szCs w:val="24"/>
          <w:lang w:val="hr-HR"/>
        </w:rPr>
        <w:t>Napomena predavaču</w:t>
      </w:r>
      <w:r w:rsidR="001121C3" w:rsidRPr="006D105E">
        <w:rPr>
          <w:rFonts w:ascii="Times New Roman" w:hAnsi="Times New Roman" w:cs="Times New Roman"/>
          <w:i/>
          <w:sz w:val="24"/>
          <w:szCs w:val="24"/>
          <w:lang w:val="hr-HR"/>
        </w:rPr>
        <w:t>:</w:t>
      </w:r>
    </w:p>
    <w:p w14:paraId="4AAD3A5D" w14:textId="7494CB54" w:rsidR="001121C3" w:rsidRPr="006D105E" w:rsidRDefault="00830276" w:rsidP="001121C3">
      <w:pPr>
        <w:spacing w:before="5" w:line="276" w:lineRule="auto"/>
        <w:ind w:left="807" w:right="689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sz w:val="24"/>
          <w:szCs w:val="24"/>
          <w:lang w:val="hr-HR"/>
        </w:rPr>
        <w:t>Cilj ovog dijela je potaknuti raspravu o istragama protiv državljana zemalja koje nisu sudionice. Osim toga, trebalo bi razmotriti razliku između rashoda u vezi s javnom nabavom i rashoda koji nisu povezani s javnom nabavom</w:t>
      </w:r>
      <w:r w:rsidR="001121C3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72A4CC69" w14:textId="77777777" w:rsidR="001121C3" w:rsidRPr="006D105E" w:rsidRDefault="001121C3" w:rsidP="001121C3">
      <w:pPr>
        <w:spacing w:before="142" w:line="276" w:lineRule="auto"/>
        <w:jc w:val="both"/>
        <w:rPr>
          <w:rFonts w:ascii="Times New Roman" w:hAnsi="Times New Roman" w:cs="Times New Roman"/>
          <w:i/>
          <w:sz w:val="24"/>
          <w:szCs w:val="21"/>
          <w:lang w:val="hr-HR"/>
        </w:rPr>
      </w:pPr>
    </w:p>
    <w:p w14:paraId="3742D50D" w14:textId="37D92863" w:rsidR="001121C3" w:rsidRPr="006D105E" w:rsidRDefault="00830276" w:rsidP="001121C3">
      <w:pPr>
        <w:spacing w:before="142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sz w:val="24"/>
          <w:szCs w:val="24"/>
          <w:lang w:val="hr-HR"/>
        </w:rPr>
        <w:t>Dodatne napomene</w:t>
      </w:r>
      <w:r w:rsidR="001121C3" w:rsidRPr="006D105E">
        <w:rPr>
          <w:rFonts w:ascii="Times New Roman" w:hAnsi="Times New Roman" w:cs="Times New Roman"/>
          <w:i/>
          <w:sz w:val="24"/>
          <w:szCs w:val="24"/>
          <w:lang w:val="hr-HR"/>
        </w:rPr>
        <w:t>:</w:t>
      </w:r>
    </w:p>
    <w:p w14:paraId="19F425C6" w14:textId="016B214C" w:rsidR="001121C3" w:rsidRPr="006D105E" w:rsidRDefault="00830276" w:rsidP="001121C3">
      <w:pPr>
        <w:pStyle w:val="ListParagraph"/>
        <w:numPr>
          <w:ilvl w:val="0"/>
          <w:numId w:val="13"/>
        </w:numPr>
        <w:tabs>
          <w:tab w:val="left" w:pos="808"/>
        </w:tabs>
        <w:spacing w:before="5" w:line="276" w:lineRule="auto"/>
        <w:ind w:right="16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Očito je da je X dao mito A-u i B-u.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No čini se da se članak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4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st.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2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t. (b) Direktive P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IF (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davanje mita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) 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ne primjenjuje jer tom konkretnom radnjom nije prouzročena šteta financijskim interesima EU-a. Očito je da je kazneno djelo počinjeno s glavnim ciljem stvaranja uvjeta za počinjenje kaznenog djela koje utječe na financijske interese Unije (akcesorno kazneno djelo</w:t>
      </w:r>
      <w:r w:rsidR="0013000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Premda bi se davanje i primanje mita moglo smatrati neodvojivim kaznenim djelom (članak </w:t>
      </w:r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22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st.</w:t>
      </w:r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3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još uvijek se ne radi o djelu na koje bi se primjenjivalo načelo </w:t>
      </w:r>
      <w:r w:rsidR="0013000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ne</w:t>
      </w:r>
      <w:r w:rsidR="008A4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13000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bis</w:t>
      </w:r>
      <w:r w:rsidR="008A4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proofErr w:type="spellStart"/>
      <w:r w:rsidR="0013000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in</w:t>
      </w:r>
      <w:proofErr w:type="spellEnd"/>
      <w:r w:rsidR="008A4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13000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idem</w:t>
      </w:r>
      <w:r w:rsidR="00CC418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</w:t>
      </w:r>
      <w:r w:rsidR="008A42E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istovjet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na ili u bitnome jednaka činjenična stanja), a počinjeno je izvan državnog područja članica Europske unije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K tome, Mađarska nije država članica sudionica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Budući da kazneno djelo ne ulazi u njegovu teritorijalnu i osobnu nadležnost</w:t>
      </w:r>
      <w:r w:rsidR="001121C3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članak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23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="001121C3" w:rsidRPr="006D105E">
        <w:rPr>
          <w:rFonts w:ascii="Times New Roman" w:hAnsi="Times New Roman" w:cs="Times New Roman"/>
          <w:spacing w:val="-10"/>
          <w:w w:val="105"/>
          <w:sz w:val="24"/>
          <w:szCs w:val="24"/>
          <w:lang w:val="hr-HR"/>
        </w:rPr>
        <w:t xml:space="preserve"> </w:t>
      </w:r>
      <w:proofErr w:type="spellStart"/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</w:t>
      </w:r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u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),</w:t>
      </w:r>
      <w:r w:rsidR="001121C3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proofErr w:type="spellStart"/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AD2B4A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ne može provoditi istragu ovog kaznenog djela davanja i primanja mita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4659CC6F" w14:textId="4A5A75FC" w:rsidR="001121C3" w:rsidRPr="006D105E" w:rsidRDefault="00AD2B4A" w:rsidP="001121C3">
      <w:pPr>
        <w:pStyle w:val="ListParagraph"/>
        <w:numPr>
          <w:ilvl w:val="0"/>
          <w:numId w:val="13"/>
        </w:numPr>
        <w:tabs>
          <w:tab w:val="left" w:pos="843"/>
        </w:tabs>
        <w:spacing w:before="1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Budući da je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X</w:t>
      </w:r>
      <w:r w:rsidR="001121C3" w:rsidRPr="006D105E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iznio netočne izjave i dokumenta, a </w:t>
      </w:r>
      <w:r w:rsidR="009E6726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nanesena</w:t>
      </w:r>
      <w:r w:rsidRPr="006D105E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je i šteta financijskim interesima EU-a, X je vjerojatno počinio prijevaru </w:t>
      </w:r>
      <w:r w:rsidR="008733D7" w:rsidRPr="006D105E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koja štetno utječe na financijske interese Europske unije prema članku 3. st. 2. Direktive PIF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  <w:r w:rsidR="001121C3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 svoj </w:t>
      </w:r>
      <w:r w:rsidR="009E6726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prilici 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primjenjuje se i osobna nadležnost </w:t>
      </w:r>
      <w:proofErr w:type="spellStart"/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-a</w:t>
      </w:r>
      <w:r w:rsidR="001121C3" w:rsidRPr="006D105E">
        <w:rPr>
          <w:rFonts w:ascii="Times New Roman" w:hAnsi="Times New Roman" w:cs="Times New Roman"/>
          <w:spacing w:val="-12"/>
          <w:w w:val="105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članak</w:t>
      </w:r>
      <w:r w:rsidR="001121C3" w:rsidRPr="006D105E">
        <w:rPr>
          <w:rFonts w:ascii="Times New Roman" w:hAnsi="Times New Roman" w:cs="Times New Roman"/>
          <w:spacing w:val="-13"/>
          <w:w w:val="105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23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t.</w:t>
      </w:r>
      <w:r w:rsidR="001121C3" w:rsidRPr="006D105E">
        <w:rPr>
          <w:rFonts w:ascii="Times New Roman" w:hAnsi="Times New Roman" w:cs="Times New Roman"/>
          <w:spacing w:val="-10"/>
          <w:w w:val="105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(b)</w:t>
      </w:r>
      <w:r w:rsidR="001121C3" w:rsidRPr="006D105E">
        <w:rPr>
          <w:rFonts w:ascii="Times New Roman" w:hAnsi="Times New Roman" w:cs="Times New Roman"/>
          <w:spacing w:val="-14"/>
          <w:w w:val="105"/>
          <w:sz w:val="24"/>
          <w:szCs w:val="24"/>
          <w:lang w:val="hr-HR"/>
        </w:rPr>
        <w:t xml:space="preserve"> 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Uredbe o </w:t>
      </w:r>
      <w:proofErr w:type="spellStart"/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PPO</w:t>
      </w:r>
      <w:proofErr w:type="spellEnd"/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): 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kazneno djelo dijelom je počinjeno unutar državnih područja država članica sudionica</w:t>
      </w:r>
      <w:r w:rsidR="001121C3" w:rsidRPr="006D105E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(Bru</w:t>
      </w:r>
      <w:r w:rsidR="008733D7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xelles</w:t>
      </w:r>
      <w:r w:rsidR="001121C3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14:paraId="7E049E4E" w14:textId="75028453" w:rsidR="001121C3" w:rsidRPr="006D105E" w:rsidRDefault="008733D7" w:rsidP="00F11F38">
      <w:pPr>
        <w:pStyle w:val="ListParagraph"/>
        <w:numPr>
          <w:ilvl w:val="0"/>
          <w:numId w:val="13"/>
        </w:numPr>
        <w:tabs>
          <w:tab w:val="left" w:pos="796"/>
        </w:tabs>
        <w:spacing w:before="6" w:line="276" w:lineRule="auto"/>
        <w:ind w:right="14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Da X svojim radnjama nije prouzročio financijsku štetu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europskim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financijskim interesima</w:t>
      </w:r>
      <w:r w:rsidR="009E672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EPPO</w:t>
      </w:r>
      <w:proofErr w:type="spellEnd"/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bi svoju nadležnost mogao izvršavati jedino ako rashodi ne bi bili povezani s javnom nabavom (</w:t>
      </w:r>
      <w:r w:rsidR="006D105E" w:rsidRPr="006D105E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. st.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2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. t.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(a)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Direktive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PIF).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Definicija ugovora o javnoj nabavi daje se u članku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101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. Uredbe</w:t>
      </w:r>
      <w:r w:rsidR="001121C3" w:rsidRPr="006D105E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(EU,</w:t>
      </w:r>
      <w:r w:rsidR="001121C3" w:rsidRPr="006D105E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Euratom)</w:t>
      </w:r>
      <w:r w:rsidR="001121C3" w:rsidRPr="006D105E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="00F11F38" w:rsidRPr="006D105E">
        <w:rPr>
          <w:rFonts w:ascii="Times New Roman" w:hAnsi="Times New Roman" w:cs="Times New Roman"/>
          <w:spacing w:val="10"/>
          <w:sz w:val="24"/>
          <w:szCs w:val="24"/>
          <w:lang w:val="hr-HR"/>
        </w:rPr>
        <w:t>br.</w:t>
      </w:r>
      <w:r w:rsidR="001121C3" w:rsidRPr="006D105E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966/2012</w:t>
      </w:r>
      <w:r w:rsidR="001121C3" w:rsidRPr="006D105E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Europ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skog par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>lament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a i Vijeća od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25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. listopada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2012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financijskim pravilima koja se primjenjuju na opći proračun Unije i o stavljanju izvan snage Uredbe Vijeća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(EC, Euratom) </w:t>
      </w:r>
      <w:r w:rsidR="00F11F38" w:rsidRPr="006D105E">
        <w:rPr>
          <w:rFonts w:ascii="Times New Roman" w:hAnsi="Times New Roman" w:cs="Times New Roman"/>
          <w:sz w:val="24"/>
          <w:szCs w:val="24"/>
          <w:lang w:val="hr-HR"/>
        </w:rPr>
        <w:t>br.</w:t>
      </w:r>
      <w:r w:rsidR="001121C3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1605/2002.</w:t>
      </w:r>
    </w:p>
    <w:p w14:paraId="02A74007" w14:textId="77777777" w:rsidR="00130005" w:rsidRPr="006D105E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3C215D" w14:textId="71B5B4E5" w:rsidR="0067618F" w:rsidRPr="006D105E" w:rsidRDefault="00F11F38" w:rsidP="00A26AF8">
      <w:pPr>
        <w:tabs>
          <w:tab w:val="left" w:pos="808"/>
        </w:tabs>
        <w:spacing w:before="144" w:line="276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 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Koja je vaša pravna ocjena nadležnosti </w:t>
      </w:r>
      <w:proofErr w:type="spellStart"/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-a </w:t>
      </w:r>
      <w:r w:rsidR="00211AF0" w:rsidRPr="006D105E">
        <w:rPr>
          <w:rFonts w:ascii="Times New Roman" w:hAnsi="Times New Roman" w:cs="Times New Roman"/>
          <w:b/>
          <w:sz w:val="24"/>
          <w:szCs w:val="24"/>
          <w:lang w:val="hr-HR"/>
        </w:rPr>
        <w:t>promatrane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 gledišta nacionalnog tužitelja koji vodi predmet u državi članici A i</w:t>
      </w:r>
      <w:r w:rsidR="007B1555" w:rsidRPr="006D105E">
        <w:rPr>
          <w:rFonts w:ascii="Times New Roman" w:hAnsi="Times New Roman" w:cs="Times New Roman"/>
          <w:b/>
          <w:sz w:val="24"/>
          <w:szCs w:val="24"/>
          <w:lang w:val="hr-HR"/>
        </w:rPr>
        <w:t>li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B, </w:t>
      </w:r>
      <w:r w:rsidR="00211AF0" w:rsidRPr="006D105E">
        <w:rPr>
          <w:rFonts w:ascii="Times New Roman" w:hAnsi="Times New Roman" w:cs="Times New Roman"/>
          <w:b/>
          <w:sz w:val="24"/>
          <w:szCs w:val="24"/>
          <w:lang w:val="hr-HR"/>
        </w:rPr>
        <w:t>a koji se mora baviti optužbama protiv dužnosnika EU-a</w:t>
      </w:r>
      <w:r w:rsidR="00BE6DB5" w:rsidRPr="006D105E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11D899D2" w14:textId="77777777" w:rsidR="00F50ABB" w:rsidRPr="006D105E" w:rsidRDefault="00F50ABB" w:rsidP="00F50ABB">
      <w:pPr>
        <w:spacing w:before="2"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  <w:lang w:val="hr-HR"/>
        </w:rPr>
      </w:pPr>
    </w:p>
    <w:p w14:paraId="3D91C722" w14:textId="77777777" w:rsidR="00F50ABB" w:rsidRPr="006D105E" w:rsidRDefault="00F50ABB" w:rsidP="00F50ABB">
      <w:pPr>
        <w:spacing w:before="2"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  <w:lang w:val="hr-HR"/>
        </w:rPr>
      </w:pPr>
    </w:p>
    <w:p w14:paraId="1C9145E2" w14:textId="036437B6" w:rsidR="0067618F" w:rsidRPr="006D105E" w:rsidRDefault="00BE6DB5" w:rsidP="00F50ABB">
      <w:pPr>
        <w:spacing w:before="2" w:line="276" w:lineRule="auto"/>
        <w:ind w:left="13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lastRenderedPageBreak/>
        <w:t>N</w:t>
      </w:r>
      <w:r w:rsidR="007B155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apomena predavaču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:</w:t>
      </w:r>
    </w:p>
    <w:p w14:paraId="0C32C379" w14:textId="0993D206" w:rsidR="002670A7" w:rsidRPr="006D105E" w:rsidRDefault="007B1555" w:rsidP="002670A7">
      <w:pPr>
        <w:spacing w:before="8" w:line="276" w:lineRule="auto"/>
        <w:ind w:left="130"/>
        <w:rPr>
          <w:rFonts w:ascii="Times New Roman" w:hAnsi="Times New Roman" w:cs="Times New Roman"/>
          <w:i/>
          <w:w w:val="105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Cilj ovog dijela je </w:t>
      </w:r>
      <w:r w:rsidR="006D105E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raspraviti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predmet s gledišta nacionalnog tužitelja u odnosu na mjerodavne odredbe Direktive PIF i Uredbe o </w:t>
      </w:r>
      <w:proofErr w:type="spellStart"/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  <w:r w:rsidR="00BE6DB5" w:rsidRPr="006D105E">
        <w:rPr>
          <w:rFonts w:ascii="Times New Roman" w:hAnsi="Times New Roman" w:cs="Times New Roman"/>
          <w:i/>
          <w:spacing w:val="-12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Polaznici bi u obzir trebali uzeti </w:t>
      </w:r>
      <w:r w:rsidR="006D105E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i 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mjerodavno materijalno i postupovno pravo.</w:t>
      </w:r>
      <w:r w:rsidR="00BE6DB5" w:rsidRPr="006D105E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U obzir bi trebali uzeti i to da su predmetne radnje izvršene u Londonu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1281C0AB" w14:textId="77777777" w:rsidR="002670A7" w:rsidRPr="006D105E" w:rsidRDefault="002670A7" w:rsidP="002670A7">
      <w:pPr>
        <w:spacing w:before="8" w:line="276" w:lineRule="auto"/>
        <w:ind w:left="130"/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14:paraId="16C90D15" w14:textId="592EFE13" w:rsidR="0067618F" w:rsidRPr="006D105E" w:rsidRDefault="007B1555" w:rsidP="002670A7">
      <w:pPr>
        <w:spacing w:before="8" w:line="276" w:lineRule="auto"/>
        <w:ind w:left="130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Dodatne napomene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14:paraId="3A079182" w14:textId="34353B30" w:rsidR="0067618F" w:rsidRPr="006D105E" w:rsidRDefault="006D105E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10" w:line="276" w:lineRule="auto"/>
        <w:ind w:right="17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Premda je poprilično očito da su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A</w:t>
      </w:r>
      <w:r w:rsidR="00BE6DB5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>i</w:t>
      </w:r>
      <w:r w:rsidR="00BE6DB5" w:rsidRPr="006D105E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B</w:t>
      </w:r>
      <w:r w:rsidR="00BE6DB5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upleteni u primanje mita, nije sigurno jesu li počinili kazneno djelo iz Direktive PIF.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Člankom 4. st.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t.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(a)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Direktive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PIF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predviđa se postupanje koje šteti ili bi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„moglo štetiti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”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financijskim interesima Unije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4F65E884" w14:textId="483AE5FD" w:rsidR="0067618F" w:rsidRPr="006D105E" w:rsidRDefault="006D105E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4" w:line="276" w:lineRule="auto"/>
        <w:ind w:right="19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No može se uzeti u obzir da je konzorcij iznio netočne izjave i dokumente te je ponudio cijenu tek nešto nižu od financijske ponude konkurenta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 T</w:t>
      </w:r>
      <w:r w:rsidR="0075015D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a okolnost daje povoda barem za početnu sumnju da su A i B pomagali X-u </w:t>
      </w:r>
      <w:proofErr w:type="spellStart"/>
      <w:r w:rsidR="0075015D">
        <w:rPr>
          <w:rFonts w:ascii="Times New Roman" w:hAnsi="Times New Roman" w:cs="Times New Roman"/>
          <w:w w:val="105"/>
          <w:sz w:val="24"/>
          <w:szCs w:val="24"/>
          <w:lang w:val="hr-HR"/>
        </w:rPr>
        <w:t>u</w:t>
      </w:r>
      <w:proofErr w:type="spellEnd"/>
      <w:r w:rsidR="0075015D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njegovim radnjama, što se može smatrati prijevarom u skladu s člankom 3. st. 2 Direktive PIF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1395E3F3" w14:textId="669509D6" w:rsidR="0067618F" w:rsidRPr="006D105E" w:rsidRDefault="0075015D" w:rsidP="006E72E7">
      <w:pPr>
        <w:pStyle w:val="ListParagraph"/>
        <w:numPr>
          <w:ilvl w:val="0"/>
          <w:numId w:val="8"/>
        </w:numPr>
        <w:tabs>
          <w:tab w:val="left" w:pos="800"/>
        </w:tabs>
        <w:spacing w:before="2" w:line="276" w:lineRule="auto"/>
        <w:ind w:right="16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Čak i ako koruptivne radnje koje su izvršili A i B same po sebi možda nisu naštetile financijskim interesima 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nije, može ih se smatrati „neodvojivo povezanim kaznenim djelima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”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prema 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članku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22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. st.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3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u.</w:t>
      </w:r>
      <w:r w:rsidR="00BE6DB5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U tom slučaju postavlja se pitanje treba li 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to što su 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A i B pom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ogli X-u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u</w:t>
      </w:r>
      <w:proofErr w:type="spellEnd"/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njegovim 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prijevarnim radnjama 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te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istodobno počin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ili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kazneno djel</w:t>
      </w:r>
      <w:r w:rsidR="004B6B02">
        <w:rPr>
          <w:rFonts w:ascii="Times New Roman" w:hAnsi="Times New Roman" w:cs="Times New Roman"/>
          <w:w w:val="105"/>
          <w:sz w:val="24"/>
          <w:szCs w:val="24"/>
          <w:lang w:val="hr-HR"/>
        </w:rPr>
        <w:t>o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korupcije smatrati nečim na što bi se primjenjivalo načelo</w:t>
      </w:r>
      <w:r w:rsidR="00BE6DB5" w:rsidRPr="006D105E">
        <w:rPr>
          <w:rFonts w:ascii="Times New Roman" w:hAnsi="Times New Roman" w:cs="Times New Roman"/>
          <w:spacing w:val="-14"/>
          <w:w w:val="105"/>
          <w:sz w:val="24"/>
          <w:szCs w:val="24"/>
          <w:lang w:val="hr-HR"/>
        </w:rPr>
        <w:t xml:space="preserve"> </w:t>
      </w:r>
      <w:r w:rsidR="00BE6DB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ne</w:t>
      </w:r>
      <w:r w:rsidR="006E7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bis</w:t>
      </w:r>
      <w:r w:rsidR="006E7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in</w:t>
      </w:r>
      <w:proofErr w:type="spellEnd"/>
      <w:r w:rsidR="006E72E7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E72E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idem</w:t>
      </w:r>
      <w:r w:rsidR="00BE6DB5" w:rsidRPr="006D105E">
        <w:rPr>
          <w:rFonts w:ascii="Times New Roman" w:hAnsi="Times New Roman" w:cs="Times New Roman"/>
          <w:spacing w:val="-12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6E72E7" w:rsidRP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istovjetna ili u bitnome jednaka činjenična stanja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). </w:t>
      </w:r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Ako je tako, </w:t>
      </w:r>
      <w:proofErr w:type="spellStart"/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6E72E7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može izvršavati svoju nadležnost samo ako je najviša sankcija za kazneno djelo iz PIF-a </w:t>
      </w:r>
      <w:r w:rsidR="0011554A">
        <w:rPr>
          <w:rFonts w:ascii="Times New Roman" w:hAnsi="Times New Roman" w:cs="Times New Roman"/>
          <w:w w:val="105"/>
          <w:sz w:val="24"/>
          <w:szCs w:val="24"/>
          <w:lang w:val="hr-HR"/>
        </w:rPr>
        <w:t>(prijevaru) stroža od one za neodvojivo povezano kazneno djelo</w:t>
      </w:r>
      <w:r w:rsidR="00BE6DB5" w:rsidRPr="006D105E">
        <w:rPr>
          <w:rFonts w:ascii="Times New Roman" w:hAnsi="Times New Roman" w:cs="Times New Roman"/>
          <w:spacing w:val="-11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11554A">
        <w:rPr>
          <w:rFonts w:ascii="Times New Roman" w:hAnsi="Times New Roman" w:cs="Times New Roman"/>
          <w:w w:val="105"/>
          <w:sz w:val="24"/>
          <w:szCs w:val="24"/>
          <w:lang w:val="hr-HR"/>
        </w:rPr>
        <w:t>primanje mita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14:paraId="7856AC81" w14:textId="0A5209BA" w:rsidR="0067618F" w:rsidRPr="006D105E" w:rsidRDefault="0011554A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9" w:line="276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 svoj prilici primjenjuje se osobna nadležnost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-a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članak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23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t.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(b)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ili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(c)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Uredbe o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u): Premda su kaznena djela počinjena izvan državnog područja država članica sudionica (London), počinil</w:t>
      </w:r>
      <w:r w:rsidR="00832823">
        <w:rPr>
          <w:rFonts w:ascii="Times New Roman" w:hAnsi="Times New Roman" w:cs="Times New Roman"/>
          <w:w w:val="105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su ih državljani država članica odnosno osobe koje podliježu</w:t>
      </w:r>
      <w:r w:rsidR="00832823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Pravilniku osoblju.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="00832823">
        <w:rPr>
          <w:rFonts w:ascii="Times New Roman" w:hAnsi="Times New Roman" w:cs="Times New Roman"/>
          <w:w w:val="105"/>
          <w:sz w:val="24"/>
          <w:szCs w:val="24"/>
          <w:lang w:val="hr-HR"/>
        </w:rPr>
        <w:t>Postoje osnove za pretpostavku da su takva kaznena djela korupcije pod sudbenošću država članica A i B čak i kad su počinjena izvan njihova državnog područja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</w:t>
      </w:r>
      <w:r w:rsidR="00832823">
        <w:rPr>
          <w:rFonts w:ascii="Times New Roman" w:hAnsi="Times New Roman" w:cs="Times New Roman"/>
          <w:w w:val="105"/>
          <w:sz w:val="24"/>
          <w:szCs w:val="24"/>
          <w:lang w:val="hr-HR"/>
        </w:rPr>
        <w:t>međutim, potrebna je dvostruka provjera nacionalne nadležnosti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14:paraId="3024B8CA" w14:textId="77777777" w:rsidR="0067618F" w:rsidRPr="006D105E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</w:p>
    <w:p w14:paraId="0BD1F4D4" w14:textId="55469495" w:rsidR="0067618F" w:rsidRPr="006D105E" w:rsidRDefault="00F93642" w:rsidP="00A26AF8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832823">
        <w:rPr>
          <w:rFonts w:ascii="Times New Roman" w:hAnsi="Times New Roman" w:cs="Times New Roman"/>
          <w:sz w:val="24"/>
          <w:szCs w:val="24"/>
          <w:lang w:val="hr-HR"/>
        </w:rPr>
        <w:t>Da ste nacionalni tužitelj koji se bavi optužbama protiv A i B</w:t>
      </w:r>
      <w:r w:rsidR="00E45A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32823">
        <w:rPr>
          <w:rFonts w:ascii="Times New Roman" w:hAnsi="Times New Roman" w:cs="Times New Roman"/>
          <w:sz w:val="24"/>
          <w:szCs w:val="24"/>
          <w:lang w:val="hr-HR"/>
        </w:rPr>
        <w:t xml:space="preserve"> biste li o svojem predmetu obavijestili </w:t>
      </w:r>
      <w:proofErr w:type="spellStart"/>
      <w:r w:rsidR="00832823">
        <w:rPr>
          <w:rFonts w:ascii="Times New Roman" w:hAnsi="Times New Roman" w:cs="Times New Roman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  <w:r w:rsidR="00832823">
        <w:rPr>
          <w:rFonts w:ascii="Times New Roman" w:hAnsi="Times New Roman" w:cs="Times New Roman"/>
          <w:sz w:val="24"/>
          <w:szCs w:val="24"/>
          <w:lang w:val="hr-HR"/>
        </w:rPr>
        <w:t>Ako je tako, kako biste to učinili? Što u međuvremenu treba učiniti u odnosu na nacionalne istrage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14:paraId="10AA1B85" w14:textId="77777777" w:rsidR="00F50ABB" w:rsidRPr="006D105E" w:rsidRDefault="00F50ABB" w:rsidP="00F50ABB">
      <w:pPr>
        <w:pStyle w:val="Heading1"/>
        <w:tabs>
          <w:tab w:val="left" w:pos="808"/>
        </w:tabs>
        <w:spacing w:line="276" w:lineRule="auto"/>
        <w:ind w:right="185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EE8120" w14:textId="4E05CA85" w:rsidR="0067618F" w:rsidRPr="006D105E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</w:t>
      </w:r>
      <w:r w:rsidR="00832823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apomena predavaču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:</w:t>
      </w:r>
    </w:p>
    <w:p w14:paraId="20DC913A" w14:textId="76794088" w:rsidR="002670A7" w:rsidRPr="006D105E" w:rsidRDefault="00832823" w:rsidP="00F50ABB">
      <w:pPr>
        <w:spacing w:before="8" w:line="276" w:lineRule="auto"/>
        <w:ind w:left="130" w:right="232"/>
        <w:jc w:val="both"/>
        <w:rPr>
          <w:rFonts w:ascii="Times New Roman" w:hAnsi="Times New Roman" w:cs="Times New Roman"/>
          <w:i/>
          <w:w w:val="105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Cilj ovog dijela je raspraviti formalne korake koje nacionalni tužitelji moraju poduzeti</w:t>
      </w:r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kako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bi </w:t>
      </w:r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se 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propisno </w:t>
      </w:r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obratili </w:t>
      </w:r>
      <w:proofErr w:type="spellStart"/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U obzir treba uzeti i to da dosad </w:t>
      </w:r>
      <w:r w:rsidR="00EC38A7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lastRenderedPageBreak/>
        <w:t>nije bilo moguće obaviti procjenu štete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48BC276D" w14:textId="34CC7EB1" w:rsidR="0067618F" w:rsidRPr="006D105E" w:rsidRDefault="00EC38A7" w:rsidP="00F50ABB">
      <w:pPr>
        <w:spacing w:before="8" w:line="276" w:lineRule="auto"/>
        <w:ind w:left="130" w:right="23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Jedno od pitanja koje valja razmotriti mogla bi biti uvodna izjava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53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. Uredbe o </w:t>
      </w:r>
      <w:proofErr w:type="spellStart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„široko tumačenje obveza izvješćivanja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”)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  <w:r w:rsidR="00BE6DB5" w:rsidRPr="006D105E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Mogla bi se povesti i rasprava o tome što bi se moralo učiniti u slučaju da </w:t>
      </w:r>
      <w:proofErr w:type="spellStart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ne ostvari svoje pravo na preuzimanje predmeta u rokovima iz članka 27. st. 1. Uredbe o </w:t>
      </w:r>
      <w:proofErr w:type="spellStart"/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754153C4" w14:textId="77777777" w:rsidR="0067618F" w:rsidRPr="006D105E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663777DE" w14:textId="0744D63B" w:rsidR="0067618F" w:rsidRPr="006D105E" w:rsidRDefault="00EC38A7" w:rsidP="00F50ABB">
      <w:pPr>
        <w:pStyle w:val="BodyText"/>
        <w:spacing w:before="143" w:line="276" w:lineRule="auto"/>
        <w:ind w:left="13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Dodatne napomene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14:paraId="78FE6E9D" w14:textId="406F7417" w:rsidR="0067618F" w:rsidRPr="006D105E" w:rsidRDefault="00EC38A7" w:rsidP="00F50ABB">
      <w:pPr>
        <w:pStyle w:val="ListParagraph"/>
        <w:numPr>
          <w:ilvl w:val="0"/>
          <w:numId w:val="9"/>
        </w:numPr>
        <w:tabs>
          <w:tab w:val="left" w:pos="469"/>
        </w:tabs>
        <w:spacing w:before="5" w:line="276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Podnošenje izvješća odnosnom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DET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-u u skladu s člankom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24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st. 2 i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opis štete koja je prouzročena ili bi mogla biti prouzročena, moguća pravna kvalifikacija, sve dostupne informacije o potencijalnim žrtvama, osumnjičenicima i drugim uključenim osobama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53E67D9C" w14:textId="248B7521" w:rsidR="0067618F" w:rsidRPr="006D105E" w:rsidRDefault="00BE6DB5" w:rsidP="00F50ABB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48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 w:rsidR="00FE2476">
        <w:rPr>
          <w:rFonts w:ascii="Times New Roman" w:hAnsi="Times New Roman" w:cs="Times New Roman"/>
          <w:w w:val="105"/>
          <w:sz w:val="24"/>
          <w:szCs w:val="24"/>
          <w:lang w:val="hr-HR"/>
        </w:rPr>
        <w:t>se obavješćuje i ako procjena štete nije moguća</w:t>
      </w:r>
      <w:r w:rsidRPr="006D105E">
        <w:rPr>
          <w:rFonts w:ascii="Times New Roman" w:hAnsi="Times New Roman" w:cs="Times New Roman"/>
          <w:spacing w:val="-10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FE2476">
        <w:rPr>
          <w:rFonts w:ascii="Times New Roman" w:hAnsi="Times New Roman" w:cs="Times New Roman"/>
          <w:w w:val="105"/>
          <w:sz w:val="24"/>
          <w:szCs w:val="24"/>
          <w:lang w:val="hr-HR"/>
        </w:rPr>
        <w:t>članak</w:t>
      </w:r>
      <w:r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24</w:t>
      </w:r>
      <w:r w:rsidR="00FE2476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st. 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5</w:t>
      </w:r>
      <w:r w:rsidR="00FE2476"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FE2476"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14:paraId="4C6DBE2F" w14:textId="3262879A" w:rsidR="0067618F" w:rsidRPr="006D105E" w:rsidRDefault="00FE2476" w:rsidP="00F50ABB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4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Nakon što o tome bude obaviješten,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spacing w:val="-8"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mora odlučiti hoće li preuzeti predmet ili ne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Ta se odluka mora donijeti najkasnije nakon pet dana (odnosno deset dana kad to u konkretnim slučajevima odluči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GET</w:t>
      </w:r>
      <w:proofErr w:type="spellEnd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14:paraId="2925FC39" w14:textId="1999D964" w:rsidR="00F50ABB" w:rsidRPr="006D105E" w:rsidRDefault="00FE2476" w:rsidP="00F93642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2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Nacionalni tužitelji moraju se u međuvremenu suzdržati od poduzimanja 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bilo kakvih daljnjih istražnih radnji koje bi mogle utjecati na odluku </w:t>
      </w:r>
      <w:proofErr w:type="spellStart"/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-u (osim hitnih mjera).</w:t>
      </w:r>
      <w:r w:rsidR="00BE6DB5" w:rsidRPr="006D105E">
        <w:rPr>
          <w:rFonts w:ascii="Times New Roman" w:hAnsi="Times New Roman" w:cs="Times New Roman"/>
          <w:spacing w:val="-10"/>
          <w:w w:val="105"/>
          <w:sz w:val="24"/>
          <w:szCs w:val="24"/>
          <w:lang w:val="hr-HR"/>
        </w:rPr>
        <w:t xml:space="preserve"> 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To se ne primjenjuje u slučaju da je </w:t>
      </w:r>
      <w:proofErr w:type="spellStart"/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prekoračio rokove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vidjeti članak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27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st.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. Uredbe 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: </w:t>
      </w:r>
      <w:r w:rsid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„</w:t>
      </w:r>
      <w:r w:rsidR="00F93642" w:rsidRP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Tijekom </w:t>
      </w:r>
      <w:proofErr w:type="spellStart"/>
      <w:r w:rsidR="00F93642" w:rsidRPr="00F93642">
        <w:rPr>
          <w:rFonts w:ascii="Times New Roman" w:hAnsi="Times New Roman" w:cs="Times New Roman"/>
          <w:w w:val="105"/>
          <w:sz w:val="24"/>
          <w:szCs w:val="24"/>
          <w:lang w:val="hr-HR"/>
        </w:rPr>
        <w:t>razdobljâ</w:t>
      </w:r>
      <w:proofErr w:type="spellEnd"/>
      <w:r w:rsidR="00F93642" w:rsidRPr="00F93642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iz stavka 1.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…”).</w:t>
      </w:r>
    </w:p>
    <w:p w14:paraId="3149E6CE" w14:textId="77777777" w:rsidR="00F50ABB" w:rsidRPr="006D105E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284D57" w14:textId="075F4DD7" w:rsidR="0067618F" w:rsidRPr="006D105E" w:rsidRDefault="00F93642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hr-HR"/>
        </w:rPr>
        <w:t>Ako se pojavi tvrdnja da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nije nadležan za predmet u odnosu na 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BE6DB5" w:rsidRPr="006D105E"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jer</w:t>
      </w:r>
    </w:p>
    <w:p w14:paraId="542C0102" w14:textId="705ED3F4" w:rsidR="0067618F" w:rsidRPr="006D105E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 w:rsidR="00F936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ije </w:t>
      </w:r>
      <w:r w:rsidR="001735C7">
        <w:rPr>
          <w:rFonts w:ascii="Times New Roman" w:hAnsi="Times New Roman" w:cs="Times New Roman"/>
          <w:b/>
          <w:sz w:val="24"/>
          <w:szCs w:val="24"/>
          <w:lang w:val="hr-HR"/>
        </w:rPr>
        <w:t>nanesena</w:t>
      </w:r>
      <w:r w:rsidR="00F936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financijska šteta financijskim interesima EU-a ili</w:t>
      </w:r>
    </w:p>
    <w:p w14:paraId="60D69373" w14:textId="6886E51D" w:rsidR="00F024B1" w:rsidRPr="006D105E" w:rsidRDefault="00F93642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financijska šteta na prelazi 10 000 EUR,</w:t>
      </w:r>
    </w:p>
    <w:p w14:paraId="372F940D" w14:textId="202B5871" w:rsidR="00F50ABB" w:rsidRPr="006D105E" w:rsidRDefault="00F93642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kako se takvo neslaganje može riješiti</w:t>
      </w:r>
      <w:r w:rsidR="00F50ABB" w:rsidRPr="006D105E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374F86E6" w14:textId="77777777" w:rsidR="00F50ABB" w:rsidRPr="006D105E" w:rsidRDefault="00F50ABB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  <w:lang w:val="hr-HR"/>
        </w:rPr>
      </w:pPr>
    </w:p>
    <w:p w14:paraId="00F6E6AC" w14:textId="150A1258" w:rsidR="0067618F" w:rsidRPr="006D105E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N</w:t>
      </w:r>
      <w:r w:rsidR="00A43F90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apomena predavaču</w:t>
      </w:r>
      <w:r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:</w:t>
      </w:r>
    </w:p>
    <w:p w14:paraId="1AFC020B" w14:textId="7D112245" w:rsidR="0067618F" w:rsidRPr="006D105E" w:rsidRDefault="00A43F90" w:rsidP="007B6E25">
      <w:pPr>
        <w:spacing w:before="133" w:line="276" w:lineRule="auto"/>
        <w:ind w:left="130" w:right="21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Cilj ovog dijela je raspraviti rješavanje neslaganja između </w:t>
      </w:r>
      <w:proofErr w:type="spellStart"/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-a i nacionalnih tijela. Važno je da polaznici znaju da se člankom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25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. st.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 Uredbe o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-u utvrđuje da su za odlučivanje o takvim pitanjima </w:t>
      </w:r>
      <w:r w:rsidR="00FC5D7D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uglavnom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nadležna nacionalna tijela. No ta se odredba primjenjuje samo na pitanje je li kažnjivo postupanje obuhvaćeno člankom</w:t>
      </w:r>
      <w:r w:rsidR="00BE6DB5" w:rsidRPr="006D105E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22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 st. 2. ili st.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 xml:space="preserve"> 3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ili člankom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25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 st.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 xml:space="preserve"> 2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ili st.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 xml:space="preserve"> 3</w:t>
      </w:r>
      <w:r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Uredbe o </w:t>
      </w:r>
      <w:proofErr w:type="spellStart"/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Mogla bi se povesti rasprava o tome kako se neslaganja mogu riješiti ako je predmet</w:t>
      </w:r>
      <w:r w:rsidR="0024671F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obuhvaćen člankom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22</w:t>
      </w:r>
      <w:r w:rsidR="0024671F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 st.</w:t>
      </w:r>
      <w:r w:rsidR="00BE6DB5" w:rsidRPr="006D105E">
        <w:rPr>
          <w:rFonts w:ascii="Times New Roman" w:hAnsi="Times New Roman" w:cs="Times New Roman"/>
          <w:i/>
          <w:spacing w:val="95"/>
          <w:w w:val="105"/>
          <w:sz w:val="24"/>
          <w:szCs w:val="24"/>
          <w:u w:val="single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1</w:t>
      </w:r>
      <w:r w:rsidR="0024671F">
        <w:rPr>
          <w:rFonts w:ascii="Times New Roman" w:hAnsi="Times New Roman" w:cs="Times New Roman"/>
          <w:i/>
          <w:w w:val="105"/>
          <w:sz w:val="24"/>
          <w:szCs w:val="24"/>
          <w:u w:val="single"/>
          <w:lang w:val="hr-HR"/>
        </w:rPr>
        <w:t>.</w:t>
      </w:r>
      <w:r w:rsidR="0024671F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Uredbe o </w:t>
      </w:r>
      <w:proofErr w:type="spellStart"/>
      <w:r w:rsidR="0024671F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E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PPO</w:t>
      </w:r>
      <w:proofErr w:type="spellEnd"/>
      <w:r w:rsidR="0024671F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.</w:t>
      </w:r>
    </w:p>
    <w:p w14:paraId="794C3850" w14:textId="77777777" w:rsidR="00922D60" w:rsidRPr="006D105E" w:rsidRDefault="00922D60" w:rsidP="00F50ABB">
      <w:pPr>
        <w:pStyle w:val="BodyText"/>
        <w:spacing w:before="65" w:line="276" w:lineRule="auto"/>
        <w:ind w:left="130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14:paraId="7C195E1A" w14:textId="06D9FA48" w:rsidR="0067618F" w:rsidRPr="006D105E" w:rsidRDefault="0024671F" w:rsidP="00F50ABB">
      <w:pPr>
        <w:pStyle w:val="BodyText"/>
        <w:spacing w:before="65" w:line="276" w:lineRule="auto"/>
        <w:ind w:left="13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Dodatne napomene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14:paraId="743C1430" w14:textId="3B57B55B" w:rsidR="0067618F" w:rsidRPr="006D105E" w:rsidRDefault="0024671F" w:rsidP="007B6E25">
      <w:pPr>
        <w:pStyle w:val="ListParagraph"/>
        <w:numPr>
          <w:ilvl w:val="0"/>
          <w:numId w:val="10"/>
        </w:numPr>
        <w:tabs>
          <w:tab w:val="left" w:pos="800"/>
        </w:tabs>
        <w:spacing w:before="135" w:line="276" w:lineRule="auto"/>
        <w:ind w:right="2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Slučaj</w:t>
      </w:r>
      <w:r w:rsidR="00BE6DB5" w:rsidRPr="006D105E">
        <w:rPr>
          <w:rFonts w:ascii="Times New Roman" w:hAnsi="Times New Roman" w:cs="Times New Roman"/>
          <w:spacing w:val="-10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a:</w:t>
      </w:r>
      <w:r w:rsidR="00BE6DB5" w:rsidRPr="006D105E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Neslaganje se odnosi na pitanje je li kažnjivo postupanje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lastRenderedPageBreak/>
        <w:t>obuhvaćeno člankom</w:t>
      </w:r>
      <w:r w:rsidR="00BE6DB5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22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st.</w:t>
      </w:r>
      <w:r w:rsidR="00BE6DB5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Uredbe o</w:t>
      </w:r>
      <w:r w:rsidR="00BE6DB5" w:rsidRPr="006D105E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  <w:r w:rsidR="00BE6DB5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Stoga se članak</w:t>
      </w:r>
      <w:r w:rsidR="00BE6DB5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25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st.</w:t>
      </w:r>
      <w:r w:rsidR="00BE6DB5" w:rsidRPr="006D105E">
        <w:rPr>
          <w:rFonts w:ascii="Times New Roman" w:hAnsi="Times New Roman" w:cs="Times New Roman"/>
          <w:spacing w:val="-9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Uredbe ne primjenjuje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Sve ovisi o ocjeni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-a o tome je li nastala financijska šteta ili nije</w:t>
      </w:r>
      <w:r w:rsidR="000071C0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Ako jest,</w:t>
      </w:r>
      <w:r w:rsidR="000071C0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ože izvršiti svoju nadležnost preuzimanjem predmeta. Ako nije, mož</w:t>
      </w:r>
      <w:r w:rsidR="009B582B">
        <w:rPr>
          <w:rFonts w:ascii="Times New Roman" w:hAnsi="Times New Roman" w:cs="Times New Roman"/>
          <w:w w:val="105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se suzdržati </w:t>
      </w:r>
      <w:r w:rsidR="0003176F">
        <w:rPr>
          <w:rFonts w:ascii="Times New Roman" w:hAnsi="Times New Roman" w:cs="Times New Roman"/>
          <w:w w:val="105"/>
          <w:sz w:val="24"/>
          <w:szCs w:val="24"/>
          <w:lang w:val="hr-HR"/>
        </w:rPr>
        <w:t>od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takvog postupanja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26997EB2" w14:textId="77777777" w:rsidR="00F024B1" w:rsidRPr="006D105E" w:rsidRDefault="00F024B1" w:rsidP="00F024B1">
      <w:pPr>
        <w:pStyle w:val="ListParagraph"/>
        <w:tabs>
          <w:tab w:val="left" w:pos="800"/>
        </w:tabs>
        <w:spacing w:before="135" w:line="276" w:lineRule="auto"/>
        <w:ind w:left="800" w:right="26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DF624F" w14:textId="7F38F6AB" w:rsidR="0067618F" w:rsidRPr="006D105E" w:rsidRDefault="001474FC" w:rsidP="007B6E25">
      <w:pPr>
        <w:pStyle w:val="ListParagraph"/>
        <w:numPr>
          <w:ilvl w:val="0"/>
          <w:numId w:val="10"/>
        </w:numPr>
        <w:tabs>
          <w:tab w:val="left" w:pos="800"/>
        </w:tabs>
        <w:spacing w:before="2" w:line="276" w:lineRule="auto"/>
        <w:ind w:right="3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Slučaj b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  <w:r w:rsidR="00BE6DB5" w:rsidRPr="006D105E">
        <w:rPr>
          <w:rFonts w:ascii="Times New Roman" w:hAnsi="Times New Roman" w:cs="Times New Roman"/>
          <w:spacing w:val="-12"/>
          <w:w w:val="10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odnosno nacionalno tijelo može rješavati neslaganje jer je riječ o području primjene članka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25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st. 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 .Uredbe o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-u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Budući da se za počinjenje kaznenog djela sumnjiče službenici Unije, odluku bi trebalo donijeti u korist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-a</w:t>
      </w:r>
      <w:r w:rsidR="00BE6DB5" w:rsidRPr="006D105E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14:paraId="77CB47B0" w14:textId="77777777" w:rsidR="007B6E25" w:rsidRPr="006D105E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</w:p>
    <w:p w14:paraId="4C8A26B8" w14:textId="77777777" w:rsidR="007B6E25" w:rsidRPr="006D105E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</w:p>
    <w:p w14:paraId="6AFC3D61" w14:textId="27458A4F" w:rsidR="0067618F" w:rsidRPr="006D105E" w:rsidRDefault="001474FC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odlučiti da na preuzme predmet protiv A i B ako je šteta koja je prouzročena (ili bi mogla biti prouzročena) financijskim interesima EU-a manja od</w:t>
      </w:r>
    </w:p>
    <w:p w14:paraId="69CB9897" w14:textId="58FA829B" w:rsidR="0067618F" w:rsidRPr="006D105E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a. </w:t>
      </w:r>
      <w:r w:rsidR="001474F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 w:rsidR="001474FC">
        <w:rPr>
          <w:rFonts w:ascii="Times New Roman" w:hAnsi="Times New Roman" w:cs="Times New Roman"/>
          <w:b/>
          <w:sz w:val="24"/>
          <w:szCs w:val="24"/>
          <w:lang w:val="hr-HR"/>
        </w:rPr>
        <w:t> 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000</w:t>
      </w:r>
      <w:r w:rsidR="001474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EUR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42A9B77D" w14:textId="3FC10140" w:rsidR="0067618F" w:rsidRPr="006D105E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b. </w:t>
      </w:r>
      <w:r w:rsidR="001474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10 000 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EUR?</w:t>
      </w:r>
    </w:p>
    <w:p w14:paraId="03F12010" w14:textId="273F5765" w:rsidR="0067618F" w:rsidRPr="006D105E" w:rsidRDefault="001474FC" w:rsidP="00F50ABB">
      <w:pPr>
        <w:spacing w:before="144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Napomena predavaču</w:t>
      </w:r>
    </w:p>
    <w:p w14:paraId="5467BDA2" w14:textId="250C3AA8" w:rsidR="0067618F" w:rsidRPr="006D105E" w:rsidRDefault="00514D63" w:rsidP="00F50ABB">
      <w:pPr>
        <w:spacing w:before="8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Ovdje je riječ tek o uzgrednom pitanju koje se može dodatno postaviti ako za to ima vremena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2AE2D60E" w14:textId="77777777" w:rsidR="0067618F" w:rsidRPr="006D105E" w:rsidRDefault="0067618F" w:rsidP="00F50ABB">
      <w:pPr>
        <w:pStyle w:val="BodyText"/>
        <w:spacing w:before="2" w:line="276" w:lineRule="auto"/>
        <w:jc w:val="both"/>
        <w:rPr>
          <w:rFonts w:ascii="Times New Roman" w:hAnsi="Times New Roman" w:cs="Times New Roman"/>
          <w:i/>
          <w:sz w:val="24"/>
          <w:szCs w:val="21"/>
          <w:lang w:val="hr-HR"/>
        </w:rPr>
      </w:pPr>
    </w:p>
    <w:p w14:paraId="5B3AA7A2" w14:textId="2A63D18C" w:rsidR="0067618F" w:rsidRPr="006D105E" w:rsidRDefault="00514D63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Dodatne napomene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:</w:t>
      </w:r>
    </w:p>
    <w:p w14:paraId="743DD5CE" w14:textId="000AAF57" w:rsidR="0067618F" w:rsidRPr="006D105E" w:rsidRDefault="00514D63" w:rsidP="007B6E25">
      <w:pPr>
        <w:pStyle w:val="ListParagraph"/>
        <w:numPr>
          <w:ilvl w:val="0"/>
          <w:numId w:val="11"/>
        </w:numPr>
        <w:spacing w:before="8" w:line="276" w:lineRule="auto"/>
        <w:ind w:right="23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DET</w:t>
      </w:r>
      <w:proofErr w:type="spellEnd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se u oba slučaja može uzdržati od ostvarivanja prava na preuzimanje predmeta u skladu s člankom 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27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 st.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 Uredbe o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u ako je kolegij izdao konkretne smjernice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03402585" w14:textId="77777777" w:rsidR="0067618F" w:rsidRPr="006D105E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  <w:lang w:val="hr-HR"/>
        </w:rPr>
      </w:pPr>
    </w:p>
    <w:p w14:paraId="4EEBFF29" w14:textId="59C183B4" w:rsidR="0067618F" w:rsidRPr="006D105E" w:rsidRDefault="00514D63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A26AF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6. </w:t>
      </w:r>
      <w:r w:rsidR="00E45A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Uzmemo 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da je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preuzeo nacionalne istrage od država članica A i B, u kojoj bi državi članici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trebao pokrenuti vlastitu istragu</w:t>
      </w:r>
      <w:r w:rsidR="00BE6DB5" w:rsidRPr="006D105E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4EA8A94E" w14:textId="77777777" w:rsidR="007B6E25" w:rsidRPr="006D105E" w:rsidRDefault="007B6E25" w:rsidP="007B6E25">
      <w:pPr>
        <w:pStyle w:val="ListParagraph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73E4E9" w14:textId="7EDAB3C5" w:rsidR="0067618F" w:rsidRPr="006D105E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i/>
          <w:sz w:val="24"/>
          <w:szCs w:val="24"/>
          <w:lang w:val="hr-HR"/>
        </w:rPr>
        <w:t>N</w:t>
      </w:r>
      <w:r w:rsidR="00514D63">
        <w:rPr>
          <w:rFonts w:ascii="Times New Roman" w:hAnsi="Times New Roman" w:cs="Times New Roman"/>
          <w:i/>
          <w:sz w:val="24"/>
          <w:szCs w:val="24"/>
          <w:lang w:val="hr-HR"/>
        </w:rPr>
        <w:t>apomena predavaču</w:t>
      </w:r>
      <w:r w:rsidRPr="006D105E">
        <w:rPr>
          <w:rFonts w:ascii="Times New Roman" w:hAnsi="Times New Roman" w:cs="Times New Roman"/>
          <w:i/>
          <w:sz w:val="24"/>
          <w:szCs w:val="24"/>
          <w:lang w:val="hr-HR"/>
        </w:rPr>
        <w:t>:</w:t>
      </w:r>
    </w:p>
    <w:p w14:paraId="742194BC" w14:textId="06C37EB6" w:rsidR="0067618F" w:rsidRPr="006D105E" w:rsidRDefault="00514D63" w:rsidP="00F50ABB">
      <w:pPr>
        <w:spacing w:before="8" w:line="276" w:lineRule="auto"/>
        <w:ind w:left="130" w:right="257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Cilj ovog dijela je raspraviti multinacionaln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>u dimenziju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predmeta 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i pitanje može li </w:t>
      </w:r>
      <w:proofErr w:type="spellStart"/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>EPPO</w:t>
      </w:r>
      <w:proofErr w:type="spellEnd"/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spojiti istrage protiv A i B.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>Polaznici bi trebali pažljivo razmotriti pitanje u kojoj bi se državi članici mogao pokrenuti i voditi postupak.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U obzir treba uzeti članak 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26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st. 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4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i 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5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Uredbe o </w:t>
      </w:r>
      <w:proofErr w:type="spellStart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DE4BC7">
        <w:rPr>
          <w:rFonts w:ascii="Times New Roman" w:hAnsi="Times New Roman" w:cs="Times New Roman"/>
          <w:i/>
          <w:sz w:val="24"/>
          <w:szCs w:val="24"/>
          <w:lang w:val="hr-HR"/>
        </w:rPr>
        <w:t>u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4753E52F" w14:textId="77777777" w:rsidR="0067618F" w:rsidRPr="006D105E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88C23B2" w14:textId="77777777" w:rsidR="00922D60" w:rsidRPr="006D105E" w:rsidRDefault="00922D60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33426BE3" w14:textId="112B6A16" w:rsidR="0067618F" w:rsidRPr="006D105E" w:rsidRDefault="00DE4BC7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Dodatne napomene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:</w:t>
      </w:r>
    </w:p>
    <w:p w14:paraId="16319FA3" w14:textId="7C9FB7B9" w:rsidR="0067618F" w:rsidRPr="006D105E" w:rsidRDefault="00DE4BC7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10" w:line="276" w:lineRule="auto"/>
        <w:ind w:right="454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Uglavnom, </w:t>
      </w:r>
      <w:r w:rsidR="00E424B8">
        <w:rPr>
          <w:rFonts w:ascii="Times New Roman" w:hAnsi="Times New Roman" w:cs="Times New Roman"/>
          <w:i/>
          <w:sz w:val="24"/>
          <w:szCs w:val="24"/>
          <w:lang w:val="hr-HR"/>
        </w:rPr>
        <w:t>predmet je pod sudbenošću više od jedne države članice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E424B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Postupak bi se mogao pokrenuti i voditi u Belgiji (zemlji boravišta)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424B8">
        <w:rPr>
          <w:rFonts w:ascii="Times New Roman" w:hAnsi="Times New Roman" w:cs="Times New Roman"/>
          <w:i/>
          <w:sz w:val="24"/>
          <w:szCs w:val="24"/>
          <w:lang w:val="hr-HR"/>
        </w:rPr>
        <w:t>kao i u državama članicama A i B.</w:t>
      </w:r>
    </w:p>
    <w:p w14:paraId="08C5DE39" w14:textId="75B22D31" w:rsidR="0067618F" w:rsidRPr="006D105E" w:rsidRDefault="00E424B8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76" w:line="276" w:lineRule="auto"/>
        <w:ind w:right="248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Stalno vijeće može donijeti odluku o spajanju istraga prema članku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26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st.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 Uredbe 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>-u, a u skladu sa st.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tog članka.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Ako u obzir </w:t>
      </w:r>
      <w:r w:rsidR="004B2A94">
        <w:rPr>
          <w:rFonts w:ascii="Times New Roman" w:hAnsi="Times New Roman" w:cs="Times New Roman"/>
          <w:i/>
          <w:sz w:val="24"/>
          <w:szCs w:val="24"/>
          <w:lang w:val="hr-HR"/>
        </w:rPr>
        <w:t>dolazi više od jednog stalnog vijeća, nadležno stalno vijeće određuje se prema unutarnjem poslovniku.</w:t>
      </w:r>
    </w:p>
    <w:p w14:paraId="3648CDD4" w14:textId="1708E73A" w:rsidR="007B6E25" w:rsidRPr="006D105E" w:rsidRDefault="004B2A94" w:rsidP="007B6E25">
      <w:pPr>
        <w:pStyle w:val="ListParagraph"/>
        <w:numPr>
          <w:ilvl w:val="0"/>
          <w:numId w:val="12"/>
        </w:numPr>
        <w:tabs>
          <w:tab w:val="left" w:pos="1484"/>
        </w:tabs>
        <w:spacing w:line="276" w:lineRule="auto"/>
        <w:ind w:right="393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Središte kriminalne aktivnosti je najvjerojatnije u Londonu.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Mogla bi se povesti rasprava o tome je</w:t>
      </w:r>
      <w:r w:rsidR="006F1B6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li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središte počinjenja kaznenih djela možda i Bruxelles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Osim toga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nema države članice u kojoj je počinjena „većina kaznenih djela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”.</w:t>
      </w:r>
    </w:p>
    <w:p w14:paraId="220D1742" w14:textId="314C7112" w:rsidR="0067618F" w:rsidRPr="006D105E" w:rsidRDefault="004B2A94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1" w:line="276" w:lineRule="auto"/>
        <w:ind w:right="1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Stalno vijeće moglo bi odlučiti da se istraga treba odvijati u Belgiji kao „mjestu u kojem osumnjičenik ili okrivljenik ima uobičajeno boravište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” (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članak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26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 st.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 t.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(a)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Uredbe o </w:t>
      </w:r>
      <w:proofErr w:type="spellStart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EPPO</w:t>
      </w:r>
      <w:proofErr w:type="spellEnd"/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u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Ali vijeće m</w:t>
      </w:r>
      <w:r w:rsidR="000A5E98">
        <w:rPr>
          <w:rFonts w:ascii="Times New Roman" w:hAnsi="Times New Roman" w:cs="Times New Roman"/>
          <w:i/>
          <w:sz w:val="24"/>
          <w:szCs w:val="24"/>
          <w:lang w:val="hr-HR"/>
        </w:rPr>
        <w:t>ora uzeti u obzir to da predmet možda nije pod sudbenošću Belgije jer je kriminalna aktivnost izvršena izvan njezinog državnog područja (tj. u UK), a ni A ni B nisu belgijski državljani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</w:t>
      </w:r>
      <w:r w:rsidR="000A5E98">
        <w:rPr>
          <w:rFonts w:ascii="Times New Roman" w:hAnsi="Times New Roman" w:cs="Times New Roman"/>
          <w:i/>
          <w:sz w:val="24"/>
          <w:szCs w:val="24"/>
          <w:lang w:val="hr-HR"/>
        </w:rPr>
        <w:t xml:space="preserve">npr. takvi predmeti ne bi bili pod sudbenošću Austrije). Stoga bi stalno vijeće moglo odlučiti i da ne spaja istrage te da </w:t>
      </w:r>
      <w:proofErr w:type="spellStart"/>
      <w:r w:rsidR="000A5E98">
        <w:rPr>
          <w:rFonts w:ascii="Times New Roman" w:hAnsi="Times New Roman" w:cs="Times New Roman"/>
          <w:i/>
          <w:sz w:val="24"/>
          <w:szCs w:val="24"/>
          <w:lang w:val="hr-HR"/>
        </w:rPr>
        <w:t>DET</w:t>
      </w:r>
      <w:proofErr w:type="spellEnd"/>
      <w:r w:rsidR="000A5E98">
        <w:rPr>
          <w:rFonts w:ascii="Times New Roman" w:hAnsi="Times New Roman" w:cs="Times New Roman"/>
          <w:i/>
          <w:sz w:val="24"/>
          <w:szCs w:val="24"/>
          <w:lang w:val="hr-HR"/>
        </w:rPr>
        <w:t>-ovima iz država članica A i B izda uputu za pokretanje odvojenih istraga</w:t>
      </w:r>
      <w:r w:rsidR="00BE6DB5" w:rsidRPr="006D105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6B41FF43" w14:textId="77777777" w:rsidR="0067618F" w:rsidRPr="006D105E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  <w:lang w:val="hr-HR"/>
        </w:rPr>
      </w:pPr>
    </w:p>
    <w:sectPr w:rsidR="0067618F" w:rsidRPr="006D105E">
      <w:footerReference w:type="default" r:id="rId9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23608" w14:textId="77777777" w:rsidR="00412589" w:rsidRDefault="00412589">
      <w:r>
        <w:separator/>
      </w:r>
    </w:p>
  </w:endnote>
  <w:endnote w:type="continuationSeparator" w:id="0">
    <w:p w14:paraId="0628E146" w14:textId="77777777" w:rsidR="00412589" w:rsidRDefault="0041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2664"/>
      <w:docPartObj>
        <w:docPartGallery w:val="Page Numbers (Bottom of Page)"/>
        <w:docPartUnique/>
      </w:docPartObj>
    </w:sdtPr>
    <w:sdtEndPr/>
    <w:sdtContent>
      <w:p w14:paraId="3BC181C9" w14:textId="61BF3F57" w:rsidR="004B2A94" w:rsidRDefault="004B2A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F1" w:rsidRPr="00AC36F1">
          <w:rPr>
            <w:noProof/>
            <w:lang w:val="hu-HU"/>
          </w:rPr>
          <w:t>1</w:t>
        </w:r>
        <w:r>
          <w:fldChar w:fldCharType="end"/>
        </w:r>
      </w:p>
    </w:sdtContent>
  </w:sdt>
  <w:p w14:paraId="0433BADF" w14:textId="3FAF1B92" w:rsidR="004B2A94" w:rsidRDefault="004B2A9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DDA9" w14:textId="77777777" w:rsidR="00412589" w:rsidRDefault="00412589">
      <w:r>
        <w:separator/>
      </w:r>
    </w:p>
  </w:footnote>
  <w:footnote w:type="continuationSeparator" w:id="0">
    <w:p w14:paraId="57C4394F" w14:textId="77777777" w:rsidR="00412589" w:rsidRDefault="0041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8F"/>
    <w:rsid w:val="000071C0"/>
    <w:rsid w:val="0003176F"/>
    <w:rsid w:val="00077F51"/>
    <w:rsid w:val="000A5E98"/>
    <w:rsid w:val="001121C3"/>
    <w:rsid w:val="0011554A"/>
    <w:rsid w:val="00130005"/>
    <w:rsid w:val="001474FC"/>
    <w:rsid w:val="001735C7"/>
    <w:rsid w:val="001922F7"/>
    <w:rsid w:val="001944FD"/>
    <w:rsid w:val="00211AF0"/>
    <w:rsid w:val="002178B9"/>
    <w:rsid w:val="00227A40"/>
    <w:rsid w:val="0024671F"/>
    <w:rsid w:val="002670A7"/>
    <w:rsid w:val="00296996"/>
    <w:rsid w:val="003732D0"/>
    <w:rsid w:val="003E6A84"/>
    <w:rsid w:val="00412589"/>
    <w:rsid w:val="004134D9"/>
    <w:rsid w:val="00471FEA"/>
    <w:rsid w:val="004B2A94"/>
    <w:rsid w:val="004B6B02"/>
    <w:rsid w:val="004E2FD9"/>
    <w:rsid w:val="00512B9A"/>
    <w:rsid w:val="00514D63"/>
    <w:rsid w:val="005517A7"/>
    <w:rsid w:val="00560F0E"/>
    <w:rsid w:val="00667B74"/>
    <w:rsid w:val="0067618F"/>
    <w:rsid w:val="006C586A"/>
    <w:rsid w:val="006D105E"/>
    <w:rsid w:val="006E72E7"/>
    <w:rsid w:val="006F1B68"/>
    <w:rsid w:val="0075015D"/>
    <w:rsid w:val="007B1555"/>
    <w:rsid w:val="007B6E25"/>
    <w:rsid w:val="007B79C3"/>
    <w:rsid w:val="00830276"/>
    <w:rsid w:val="00832823"/>
    <w:rsid w:val="008733D7"/>
    <w:rsid w:val="008823D0"/>
    <w:rsid w:val="008A42E7"/>
    <w:rsid w:val="008B571C"/>
    <w:rsid w:val="008E6AB3"/>
    <w:rsid w:val="00922D60"/>
    <w:rsid w:val="00944CEC"/>
    <w:rsid w:val="009B582B"/>
    <w:rsid w:val="009E6726"/>
    <w:rsid w:val="00A26AF8"/>
    <w:rsid w:val="00A43F90"/>
    <w:rsid w:val="00A55A0B"/>
    <w:rsid w:val="00A6473B"/>
    <w:rsid w:val="00A922B1"/>
    <w:rsid w:val="00AB3C53"/>
    <w:rsid w:val="00AC36F1"/>
    <w:rsid w:val="00AD2B4A"/>
    <w:rsid w:val="00B22F08"/>
    <w:rsid w:val="00BB4C92"/>
    <w:rsid w:val="00BC6CC1"/>
    <w:rsid w:val="00BE6DB5"/>
    <w:rsid w:val="00C64C90"/>
    <w:rsid w:val="00C66BBB"/>
    <w:rsid w:val="00CC418A"/>
    <w:rsid w:val="00CE5780"/>
    <w:rsid w:val="00DC4ED2"/>
    <w:rsid w:val="00DE2571"/>
    <w:rsid w:val="00DE4BC7"/>
    <w:rsid w:val="00E424B8"/>
    <w:rsid w:val="00E45A57"/>
    <w:rsid w:val="00EA6ADD"/>
    <w:rsid w:val="00EC177B"/>
    <w:rsid w:val="00EC38A7"/>
    <w:rsid w:val="00EE1907"/>
    <w:rsid w:val="00F024B1"/>
    <w:rsid w:val="00F11F38"/>
    <w:rsid w:val="00F50ABB"/>
    <w:rsid w:val="00F93642"/>
    <w:rsid w:val="00FC5D7D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E80-8ED5-4293-9B57-4748F04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Microsoft Word - Case scenario EPPO-PIF</vt:lpstr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Windows User</cp:lastModifiedBy>
  <cp:revision>9</cp:revision>
  <dcterms:created xsi:type="dcterms:W3CDTF">2021-10-05T09:20:00Z</dcterms:created>
  <dcterms:modified xsi:type="dcterms:W3CDTF">2021-10-20T14:41:00Z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